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0B" w:rsidRPr="00A16E0B" w:rsidRDefault="00A16E0B" w:rsidP="00A16E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E0B">
        <w:rPr>
          <w:rFonts w:ascii="Times New Roman" w:hAnsi="Times New Roman" w:cs="Times New Roman"/>
          <w:b/>
          <w:sz w:val="24"/>
          <w:szCs w:val="24"/>
        </w:rPr>
        <w:t>Об участии верных в Евхаристии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Евхаристия — главное Таинство Церкви, установленное Господом Иисусом Христом накануне Его спасительных страданий, крестной смерти и воскресения. Участие в Евхаристии и причащение Телу и Крови Христовым является заповедью Спасителя, через Своих учеников сказавшего всем христианам: «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Приимите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ядите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: сие есть Тело Мое» и «пейте из нее все, ибо сие есть Кровь Моя Нового Завета» (Мф. 26, 26-28). Сама Церковь есть Тело Христово, а потому Таинство Тела и Крови Христа видимым образом являет мистическую природу Церкви, созидая церковную общину.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Духовная жизнь православного христианина немыслима без причащения Святых Таин. Приобщаясь Святых Даров, верующие освящаются силой Святого Духа и соединяются со Христом Спасителем и друг с другом, составляя единое Тело Христово.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Таинство Евхаристии требует особого к нему приготовления. В Церкви само время — будь то время человеческой жизни или история всего человечества — есть ожидание и приготовление для встречи со Христом, а весь ритм богослужебной жизни — ожидание и приготовление к Божественной литургии и соответственно к причащению, ради которого она и совершается.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I.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Практика причащения и подготовки к нему в истории Церкви менялась и приобретала различные формы.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Уже в апостольскую эпоху в Церкви установилась традиция совершать Евхаристию каждое воскресенье (а по возможности — и чаще: например, в дни памяти мучеников), чтобы христиане могли постоянно пребывать в общении со Христом и друг с другом (см., напр., 1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. 10, 16–17;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Деян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. 2, 46;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Деян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. 20, 7). Все члены местной общины участвовали в еженедельной Евхаристии и причащались, а отказ от участия в евхаристическом общении без достаточных к тому оснований подвергался порицанию: «Всех верных, входящих в церковь, и писания слушающих, но не пребывающих на молитве и святом причащении до конца, яко бесчиние в церкви производящих,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отлучати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подобает от общения церковного»(правило святых Апостол 9).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Первохристианская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практика причащения за каждой Божественной литургией остается идеалом и в настоящее время, являясь частью Предания Церкви.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Вместе с тем, количественный рост Церкви в III и особенно IV веках привел к переменам, в том числе в литургической жизни. С увеличением числа дней памяти мучеников и праздников евхаристические собрания начали совершаться все чаще, а присутствие на них каждого христианина стало считаться многими желательным, но необязательным — равно как и участие в причащении. Церковь противопоставила этому следующую каноническую норму: «Все входящие в церковь, и слушающие священные Писания, но, по некоему уклонению от порядка, не участвующие в молитве с народом, или отвращающиеся от причащения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святыя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Евхаристии, да будут отлучены от Церкви дотоле, как исповедаются, окажут плоды покаяния, и будут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просити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прощения, и таким образом возмогут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получити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оное» (2-е правило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Антиохийского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Собора).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lastRenderedPageBreak/>
        <w:t xml:space="preserve">Тем не менее, высокий идеал постоянной готовности к принятию Святых Таин оказался труднодостижим для многих христиан. Поэтому уже в творениях Святых Отцов IV века встречаются свидетельства о сосуществовании разных практик в отношении регулярности причащения. Так, святитель Василий Великий говорит о причащении четыре раза в неделю как о норме: «Причащаться же каждый день и приобщаться Святого Тела и Крови Христовой — хорошо и полезно, поскольку Сам [Христос] ясно говорит: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Ядущий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Мою Плоть 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пиющий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Мою Кровь, имеет жизнь вечную. &lt;…&gt; Мы каждую неделю причащаемся четыре раза: в воскресенье, в среду, в пятницу и в субботу, а также и в прочие дни, если случится память какого-либо святого» (Послание 93 [89]). Менее полувека спустя святитель Иоанн Златоуст отмечает, что многие — в том числе монашествующие — стали причащаться один-два раза в году: «Многие причащаются этой Жертвы однажды во весь год, другие дважды, а иные — несколько раз. Слова наши относятся ко всем, не только к присутствующим здесь, но и к находящимся в пустыне, — потому что те [тоже] причащаются однажды в год, а нередко — и раз в два года. Что же? Кого нам одобрить? Тех ли, которые [причащаются] однажды [в год], или тех, которые часто, или тех, которые редко? Ни тех, ни других, ни третьих, но причащающихся с чистой совестью, с чистым сердцем, с безукоризненной жизнью. Такие пусть всегда приступают; а не такие [не должны причащаться] и один раз [в году]» (Беседы на Послание к Евреям 17, 4).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В IV веке была окончательно зафиксирована сложившаяся еще в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доникейскую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эпоху норма об обязательном евхаристическом посте — полном воздержании от пищи и питья в день причащения до момента принятия Святых Таин Христовых:«Святое таинство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олтаря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да совершается людьми не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ядшими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» (41-е [50-е] правило Карфагенского Собора; подтверждено 29-м правилом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Трулльского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Собора). Однако уже на рубеже IV–V веков некоторые христиане связывали причащение не только с соблюдением евхаристического воздержания перед литургией, но и, по свидетельству святителя Иоанна Златоуста, со временем Великого поста. Сам святитель призывает к более частому причащению: «Прошу, скажи мне: приступая к причащению раз в году, ты действительно считаешь, что сорока дней тебе достаточно для очищения грехов за весь [этот] период? А потом, по прошествии недели, опять предаешься прежнему? Скажи же мне: если бы ты, выздоравливая в течение сорока дней от продолжительной болезни, потом опять принялся за ту же пищу, которая причинила болезнь, то не потерял ли бы ты и предшествовавшего труда? Очевидно, что так. Если же так устроено физическое [здоровье], то тем более — нравственное. &lt;…&gt; [Всего] сорок — а часто и не сорок — дней ты посвящаешь здоровью души — и полагаешь, что умилостивил Бога? &lt;…&gt; Говорю это не с тем, чтобы запретить вам приступать однажды в год, но более желая, чтобы вы всегда приступали к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Cвятым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Таинам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» (Беседы на Послание к Евреям 17. 4).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В Византии к XI–XII векам в монашеской среде установилась традиция причащаться только после подготовки, включавшей в себя пост, испытание своей совести перед монастырским духовником, прочтение перед причащением особого молитвенного правила, которое зарождается и начинает развиваться именно в эту эпоху. На эту же традицию стали ориентироваться и благочестивые миряне, поскольку монашеская духовность в Православии всегда воспринималась как идеал. В наиболее строгом виде эта </w:t>
      </w:r>
      <w:r w:rsidRPr="00A16E0B">
        <w:rPr>
          <w:rFonts w:ascii="Times New Roman" w:hAnsi="Times New Roman" w:cs="Times New Roman"/>
          <w:sz w:val="24"/>
          <w:szCs w:val="24"/>
        </w:rPr>
        <w:lastRenderedPageBreak/>
        <w:t>традиция представлена, например, в указании русского Типикона (глава 32), который, в отличие от греческого, говорит об обязательном семидневном посте перед причащением.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В 1699 году в состав русского Служебника была включена статья под названием «Учительное известие». В ней, в частности, содержится указание и об обязательном сроке подготовки ко святому причащению — в четыре многодневных поста причащаться могут все желающие, а вне постов следует поститься семь дней, но этот срок может быть сокращен: «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Аще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убо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кроме постов четырех обычных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приступити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ко святому причащению восхотят,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седмь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дний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прежде да постятся, в молитвах церковных и домашних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пребывающе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(сие же не в нужде: в нужде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три дни, или един день да постятся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точию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)».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На практике крайне строгий подход к подготовке ко святому причащению, имевший положительные духовные стороны, приводил, однако, и к тому что некоторые христиане подолгу не причащались, ссылаясь на необходимость достойной подготовки. Против такой практики редкого причащения была, в частности, направлена норма об обязательном причащении всех христиан Российской империи хотя бы раз в году, содержащаяся в «Духовном регламенте»</w:t>
      </w:r>
      <w:hyperlink r:id="rId4" w:anchor="_ftn1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[1]</w:t>
        </w:r>
      </w:hyperlink>
      <w:r w:rsidRPr="00A16E0B">
        <w:rPr>
          <w:rFonts w:ascii="Times New Roman" w:hAnsi="Times New Roman" w:cs="Times New Roman"/>
          <w:sz w:val="24"/>
          <w:szCs w:val="24"/>
        </w:rPr>
        <w:t xml:space="preserve">: «Должен всяк христианин и часто, а хотя бы единожды в год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причащатися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Святой Евхаристии. Сие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есть и благодарение наше изящнейшее Богу о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толиком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смертию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Спасителевою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содеянном нам спасении… Того ради,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аще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который христианин покажется, что он весьма от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святаго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причастия удаляется, тем самым являет себе, что не есть в Теле Христове,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сиесть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, не есть сообщник Церкви».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В XIX — начале XX века благочестивые люди стремились причащаться хотя бы во все четыре многодневных поста. Многие святые того времени, среди которых — святитель Феофан Затворник, праведный Иоанн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Кронштадтский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и другие — призывали приступать к Святым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Таинам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еще чаще. По словам святителя Феофана, «мера [причащаться] в месяц однажды или два раза — самая мерная», хотя «ничего нельзя сказать неодобрительного» и о более частом причащении</w:t>
      </w:r>
      <w:hyperlink r:id="rId5" w:anchor="_ftn2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[2]</w:t>
        </w:r>
      </w:hyperlink>
      <w:r w:rsidRPr="00A16E0B">
        <w:rPr>
          <w:rFonts w:ascii="Times New Roman" w:hAnsi="Times New Roman" w:cs="Times New Roman"/>
          <w:sz w:val="24"/>
          <w:szCs w:val="24"/>
        </w:rPr>
        <w:t>. Каждый верующий может руководствоваться такими словами этого святого: «Святых Таин причащайтесь почаще, как духовный отец разрешит, только старайтесь всегда приступать и с должным приготовлением и паче — со страхом и трепетом, чтоб, привыкнув, не стать приступать равнодушно»</w:t>
      </w:r>
      <w:hyperlink r:id="rId6" w:anchor="_ftn3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[3]</w:t>
        </w:r>
      </w:hyperlink>
      <w:r w:rsidRPr="00A16E0B">
        <w:rPr>
          <w:rFonts w:ascii="Times New Roman" w:hAnsi="Times New Roman" w:cs="Times New Roman"/>
          <w:sz w:val="24"/>
          <w:szCs w:val="24"/>
        </w:rPr>
        <w:t>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Исповеднический подвиг Церкви в годы гонений ХХ века побудил многих священнослужителей и чад церковных переосмыслить существовавшую ранее практику редкого причащения. В частности, в 1931 году Временный Патриарший Синод в своем постановлении от 13 мая указал: «Пожелание касательно возможного частого причащения православных христиан, а для преуспевающих из них — 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ежевоскресного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признать приемлемым».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В настоящее время многие православные люди причащаются значительно чаще, чем большинство христиан в дореволюционной России. Однако практика частого причащения не может быть автоматически распространена на всех без исключения верующих, поскольку частота причащения напрямую зависит от духовно-нравственного состояния человека дабы, по слову Златоуста, верующие приступали ко причащению Святых Таин «с чистою совестью, насколько нам это возможно» (Против иудеев. Слово III. 4).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 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Требования подготовки ко святому причащению определяются для каждого верующего церковными постановлениями и нормами, которые применяются духовником с учетом регулярности приобщения Святых Таин, духовного, нравственного и телесного состояния, внешних обстоятельств жизни, например, таких как занятость, обремененность попечениями о ближних.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Духовным отцом (духовником) человека является священнослужитель, у которого он постоянно исповедуется, который знаком с обстоятельствами его жизни и духовным состоянием. При этом верующие могут исповедоваться у иных священников в случае невозможности исповедоваться у своего духовника. Если нет духовника, то верующему следует обращаться с вопросами, касающимися причащения, к священникам того храма, где он желает причаститься.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Как духовнику, руководствующемуся церковными постановлениями и нормами и на основании их наставляющему христианина, так и причастнику необходимо сознавать, что целью подготовки является не внешнее выполнение формальных условий, но обретение покаянного состояния души, прощение обид и примирение с ближними, соединение со Христом в Святых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Таинах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. Пост и молитва призваны помочь готовящемуся ко причащению в обретении этого внутреннего состояния.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Памятуя о словах Спасителя, обличающего тех, кто возлагает на людей бремена тяжелые 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неудобоносимые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(см. Мф. 23, 4), духовникам следует осознавать, что неоправданная строгость, равно как и чрезмерное снисхождение способны воспрепятствовать соединению человека со Христом Спасителем, принести ему духовный вред.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Подготовка монашествующих к участию в Таинстве Евхаристии осуществляется в соответствии с Положением о монастырях и монашестве и внутренними уставами монастырей.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1. Практика приуготовительного поста регулируется аскетической традицией Церкви. Пост в форме воздержания от скоромной пищи и удаления от развлечений, сопровождаемый усердной молитвой и покаянием, традиционно предваряет причащение Святых Таин. Продолжительность и мера поста перед святым причащением могут быть разными в зависимости от внутреннего состояния христианина, а также объективных условий его жизни. В частности, при острых или хронических заболеваниях, требующих особого режима питания, а для женщин — при беременности и кормлении пост может быть сокращен, облегчен или отменен. Это же касается и христиан, на временной или постоянной основе пребывающих в условиях светского общежития, предполагающего общее питание (войсковые подразделения, больницы, интернаты, спецшколы, места заключения).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Сложившаяся в наши дни практика, согласно которой причащающийся несколько раз в году постится три дня перед причащением, вполне соответствует преданию Церкви. Также приемлемой следует признать практику, когда причащающийся еженедельно или несколько раз в месяц, и при этом соблюдающий указанные Уставом многодневные и однодневные посты, приступает к Святой Чаше без дополнительного поста, либо сохраняя </w:t>
      </w:r>
      <w:r w:rsidRPr="00A16E0B">
        <w:rPr>
          <w:rFonts w:ascii="Times New Roman" w:hAnsi="Times New Roman" w:cs="Times New Roman"/>
          <w:sz w:val="24"/>
          <w:szCs w:val="24"/>
        </w:rPr>
        <w:lastRenderedPageBreak/>
        <w:t>однодневный пост или пост в вечер кануна причащения. Решение по этому вопросу должно приниматься с благословения духовника. Требования подготовки ко святому причащению, адресованные к часто причащающимся мирянам, относятся и к священнослужителям.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Особый случай в отношении практики подготовки ко святому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причащениюсоставляет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 Светлая седмица — неделя после праздника Пасхи Христовой. Древняя каноническая норма об обязательном участии всех верных в воскресной Евхаристии в VII веке была распространена и на Божественные литургии всех дней Светлой седмицы: «От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святаго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дня Воскресения Христа Бога нашего до Недели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Новыя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, во всю седмицу верные должны во святых церквах непрестанно упражняться во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псалмех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и пениях 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песнех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духовных,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радуяся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и торжествуя во Христе, и чтению Божественных Писаний внимая, и Святыми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Таинами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наслаждаяся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. Ибо таким образом со Христом купно воскреснем, и вознесемся»(66-е правило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Трулльского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Собора). Из этого правила ясно следует, что миряне призываются причащаться на литургиях Светлой седмицы. Имея в виду, что на Светлой седмице Устав не предусматривает поста и что Светлой седмице предшествуют семь недель подвига Великого поста и Страстной седмицы, — следует признать соответствующей каноническому преданию сложившуюся во многих приходах Русской Православной Церкви практику, когда соблюдавшие Великий пост христиане в период Светлой седмицы приступают ко святому причащению, ограничивая пост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невкушением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пищи после полуночи. Аналогичная практика может быть распространена на период между Рождеством и Богоявлением. Готовящимся ко причащению в эти дни следует с особым вниманием блюсти себя от неумеренного потребления пищи и пития.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2. От приуготовительного поста следует отличать евхаристический пост в строгом смысле слова — полное воздержание от пищи и питья с полуночи до святого причащения. Этот пост канонически обязателен (см. выше 41-е [50-е] правило Карфагенского Собора). При этом требование евхаристического поста не применяется к младенцам, а также к лицам, страдающим тяжелыми острыми или хроническими заболеваниями, предполагающими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неопустительный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прием лекарств или пищи (как, например, при сахарном диабете), и к умирающим. Кроме того, это требование, по усмотрению духовника, может быть ослаблено в отношении беременных и кормящих женщин.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Каноническое право предписывает воздерживаться в период подготовки ко святому причащению от супружеского общения. 5 правило Тимофея Александрийского говорит о воздержании накануне причастия.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Христиан, подверженных вредной привычке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, Церковь призывает отказаться от нее. Тем, кто не имеет пока для этого сил, надлежит воздерживаться от курения с полуночи, а по возможности — и с вечера в канун причащения.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Поскольку Литургия Преждеосвященных Даров согласно Уставу соединена с вечерней, совершение ее в вечернее время является уставной нормой (впрочем, на практике эта литургия обычно совершается утром). В соответствии с постановлением Священного Синода Русской Православной Церкви от 28 ноября 1968 года, «при совершении Божественной литургии Преждеосвященных Даров в вечерние часы воздержание для причащающихся от принятия пищи и пития должно быть не менее 6 часов, однако </w:t>
      </w:r>
      <w:r w:rsidRPr="00A16E0B">
        <w:rPr>
          <w:rFonts w:ascii="Times New Roman" w:hAnsi="Times New Roman" w:cs="Times New Roman"/>
          <w:sz w:val="24"/>
          <w:szCs w:val="24"/>
        </w:rPr>
        <w:lastRenderedPageBreak/>
        <w:t>воздержание перед причащением с полуночи от начала данных суток весьма похвально и его могут держаться имеющие физическую крепость».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На не менее чем шестичасовую норму воздержания следует также ориентироваться при подготовке к причащению за Божественной литургией, совершаемой ночью (к примеру, в праздники Святой Пасхи и Рождества Христова).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3. Подготовка к причащению состоит не только в отказе от определенной пищи, но и в более частом посещении церковных богослужений, а также в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совершениимолитвенного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правила.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Неизменной частью молитвенной подготовки является Последование ко святому причащению, состоящее из соответствующего канона и молитв. Молитвенное правило обычно включает в себя каноны Спасителю, Божией Матери, Ангелу Хранителю и другие молитвословия (см. «Правило готовящимся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служити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, и хотящим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причаститися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Святых Божественных Таинств, Тела и Крове Господа нашего Иисуса Христа» в Следованной Псалтири). Во время Светлой седмицы молитвенное правило состоит из Пасхального канона, а также канона и молитв ко святому причащению. Личное молитвенное правило должно совершаться вне богослужений, которые всегда предполагают соборную молитву. Особенное пастырское внимание требуется в отношении людей, духовный путь которых в Церкви лишь начинается и которые еще не привыкли к длительным молитвенным правилам, а также детей и больных. Следованная Псалтирь предполагает возможность замены канонов и акафистов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Иисусовой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молитвой и поклонами. В духе этого указания по благословению духовника упомянутое правило может быть заменено иными молитвословиями.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Поскольку литургия есть вершина всего богослужебного круга, присутствие на предваряющих ее службах — в первую очередь, вечерне и утрене (или всенощном бдении) — является важной частью подготовки к принятию Святых Тела и Крови Христовых.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Духовник или исповедующий священник в случае, когда человек отсутствовал на вечерней службе накануне причащения или совершил молитвенное правило не в полном объеме, должен побуждать его к тщательной подготовке ко причащению, но одновременно принимать во внимание обстоятельства его жизни и возможное наличие уважительных причин.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Приуготовляя себя к принятию Святых Христовых Таин за Божественной литургией чада Церкви должны собираться в храме к началу богослужения. Пренебрежением к Таинству Тела и Крови Христовых является опоздание на Божественную литургию, особенно когда верующие прибывают в храм после чтения апостола и Евангелия. В случае такого опоздания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исповедающий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или причащающий священник может принять решение не допустить человека к Святой Чаше. Исключение должно быть сделано для людей с ограниченными физическими возможностями, кормящих матерей, детей в младенческом возрасте и сопровождающих их взрослых.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По окончании Божественной литургии христианин должен выслушать в храме или прочесть благодарственные молитвы по святом причащении. Христианину следует </w:t>
      </w:r>
      <w:r w:rsidRPr="00A16E0B">
        <w:rPr>
          <w:rFonts w:ascii="Times New Roman" w:hAnsi="Times New Roman" w:cs="Times New Roman"/>
          <w:sz w:val="24"/>
          <w:szCs w:val="24"/>
        </w:rPr>
        <w:lastRenderedPageBreak/>
        <w:t>всемерно стремиться к тому, чтобы, возблагодарив Господа в молитве за принятый дар, сохранять его в мире и благочестии, любви к Богу и ближнему.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Учитывая неразрывную связь причащения с Божественной литургией, духовенство не должно допускать практику, когда в отдельных храмах верным возбраняется приступать ко святому причащению в праздники Святой Пасхи, Рождества Христова, Богоявления, в родительские субботы 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Радоницу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III.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Готовящийся ко святому причащению совершает испытание своей совести, предполагающее искреннее раскаяние в совершенных грехах и открытие их перед священником в Таинстве Покаяния. В условиях, когда многие приходящие в храмы еще недостаточно укоренены в церковной жизни, в связи с чем подчас не понимают значения Таинства Евхаристии или не осознают нравственных и канонических последствий своих греховных деяний, исповедь позволяет исповедующему священнику судить о возможности допустить кающегося к принятию Святых Христовых Таин.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В отдельных случаях в соответствии с практикой, сложившейся во многих приходах, духовник может благословить мирянина приобщиться Тела и Крови Христовых несколько раз в течение одной недели (например, на Страстной и Светлой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седмицах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) без предварительной исповеди перед каждым причащением кроме ситуаций, когда желающий причаститься испытывает потребность в исповеди. При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преподании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соответствующего благословения духовникам следует особо помнить о высокой ответственности за души пасомых, возложенной на них в Таинстве Священства.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В некоторых приходах имеет место длительное ожидание начала причащения мирян. Это происходит из-за долгого причащения духовенства при совершении соборных богослужений или совершения исповеди после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запричастного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стиха. Такое положение дел следует признать нежелательным. Таинство покаяния должно совершаться по возможности вне Божественной литургии, дабы не лишать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исповедающего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исповедающегося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полноценного участия в совместной Евхаристической молитве. Недопустимо совершение исповеди помогающим за литургией священником во время чтения Евангелия и евхаристического канона. Исповедь желательно проводить преимущественно с вечера или до начала Божественной литургии. Кроме того, важным является установление на приходах фиксированных дней и часов, когда священник в обязательном порядке присутствует для встречи с желающими общения с пастырем.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IV.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Недопустимо причащаться в состоянии озлобленности, гнева, при наличии тяжелых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неисповеданных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грехов или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непрощенных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обид. Дерзающие приступать к Евхаристическим Дарам в таком состоянии души сами подвергают себя суду Божию, по слову апостола: «Кто ест и пьет недостойно, тот ест и пьет осуждение себе, не рассуждая о Теле Господнем. Оттого многие из вас немощны и немало умирает» (1 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>. 11, 29-30).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При совершении тяжелых грехов применение канонов в части отлучения от причастия на длительные сроки (более чем на один год) может осуществляться только по </w:t>
      </w:r>
      <w:r w:rsidRPr="00A16E0B">
        <w:rPr>
          <w:rFonts w:ascii="Times New Roman" w:hAnsi="Times New Roman" w:cs="Times New Roman"/>
          <w:sz w:val="24"/>
          <w:szCs w:val="24"/>
        </w:rPr>
        <w:lastRenderedPageBreak/>
        <w:t xml:space="preserve">благословению епархиального архиерея. В случае злоупотребления священником правом наложения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прещений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вопрос может быть передан на рассмотрение в церковный суд.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Каноны запрещают причащаться в состоянии женской нечистоты (2-е правило святого Дионисия Александрийского, 7-е правило Тимофея Александрийского). Исключение может быть сделано в случае смертной опасности, а также когда кровотечение продолжается длительное время в связи с хроническим или острым заболеванием.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V.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Как отмечено в Основах социальной концепции Русской Православной Церкви (Х. 2) и в определении Священного Синода Русской Православной Церкви от 28 декабря 1998 года, Церковь, настаивая на необходимости церковного брака, все же не лишает причащения Святых Таин супругов, состоящих в брачном союзе, который заключен с принятием на себя всех законных прав и обязанностей и признается в качестве юридически полноценного брака, но по каким-то причинам не освящен венчанием. Эта мера церковной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икономии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, опирающаяся на слова святого апостола Павла (1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. 7, 14) и правило 72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Трулльского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Собора, имеет в виду облегчение возможности участия в церковной жизни для тех православных христиан, которые вступили в брак до начала своего сознательного участия в таинствах Церкви. В отличие от блудного сожительства, являющегося каноническим препятствием ко причащению, такой союз в глазах Церкви представляет собой законный брак (за исключением тех случаев, когда законодательно допустимые «браки» — например, союз между близкими родственниками или однополое сожительство,</w:t>
      </w:r>
      <w:r w:rsidRPr="00A16E0B">
        <w:rPr>
          <w:rFonts w:ascii="Times New Roman" w:hAnsi="Times New Roman" w:cs="Times New Roman"/>
          <w:sz w:val="24"/>
          <w:szCs w:val="24"/>
        </w:rPr>
        <w:br/>
        <w:t>которые признаны в ряде стран, — с точки зрения Церкви недопустимы в принципе). Однако долг пастырей — напоминать верующим о необходимости не только заключения юридически действительного брака, но и освящения такового в церковном священнодействии.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Отдельному рассмотрению подлежат те случаи, когда лица проживают совместно длительное время, нередко имеют общих детей, но не состоят в церковном или зарегистрированном государством браке, причем одна из сторон такого сожительства не желает ни регистрировать отношения, ни венчаться. Такие сожительства греховны, а их распространение в мире является противлением замыслу Божию о человеке, опасно для института брака и не может получить никакого признания со стороны Церкви. При этом духовник, зная обстоятельства жизни конкретного человека, по снисхождению к немощи человеческой в исключительных случаях может допустить до причастия ту сторону, которая осознает греховность такого сожительства и стремится заключить законный брак. Не допускается до причастия тот сожитель, по вине которого не заключается брак. Если же хотя бы один из сожителей состоит в другом браке, то обе стороны не могут быть допущены до причастия без канонического урегулирования ситуации и принесения должного покаяния.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VI.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Подготовка детей ко святому причащению имеет свои особенности. Ее продолжительность и содержание определяются родителями</w:t>
      </w:r>
      <w:hyperlink r:id="rId7" w:anchor="_ftn4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[4]</w:t>
        </w:r>
      </w:hyperlink>
      <w:r w:rsidRPr="00A16E0B">
        <w:rPr>
          <w:rFonts w:ascii="Times New Roman" w:hAnsi="Times New Roman" w:cs="Times New Roman"/>
          <w:sz w:val="24"/>
          <w:szCs w:val="24"/>
        </w:rPr>
        <w:t xml:space="preserve"> в консультации с </w:t>
      </w:r>
      <w:r w:rsidRPr="00A16E0B">
        <w:rPr>
          <w:rFonts w:ascii="Times New Roman" w:hAnsi="Times New Roman" w:cs="Times New Roman"/>
          <w:sz w:val="24"/>
          <w:szCs w:val="24"/>
        </w:rPr>
        <w:lastRenderedPageBreak/>
        <w:t>духовником и должны учитывать возраст, состояние здоровья и степень воцерковленности ребенка.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Родителям, регулярно приводящим к Святой Чаше своих детей, что является благом, необходимо стремиться к причащению вместе с ними (при невозможности одновременно причащаться обоим родителям — поочередно). Практика, когда родители причащают детей, а сами редко приступают ко святому причащению, препятствует укреплению в сознании детей необходимости участия в Евхаристической трапезе.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Первая исповедь перед причащением, согласно 18-му правилу Тимофея Александрийского, совершается по достижении возраста десяти лет, но в традиции Русской Православной Церкви первая исповедь происходит, как правило, в возрасте семи лет. При этом возраст совершения первой исповеди, а также частота совершения исповеди для ребенка в возрасте от 7 до 10 лет при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ежевоскресном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причащении должны определяться совместно духовником и родителями, с учетом индивидуальных особенностей в развитии ребенка и его понимания церковной жизни.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Для детей до трех лет евхаристический пост не является обязательным. По традиции, с трехлетнего возраста детей в православных семьях постепенно приучают к воздержанию от пищи и питья перед причащением Святых Таин. К семилетнему возрасту ребенок должен твердо привыкнуть причащаться натощак. С этого же времени следует учить ребенка прочитывать молитвословия ко святому причащению, содержание и объем которых определяются родителями в соответствии с возрастом, духовным и интеллектуальным развитием ребенка.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Восприемники должны принимать всемерное участие в воспитании детей в благочестии, в том числе побуждая их регулярно причащаться Святых Христовых Таин и помогая родителям приводить их ко Святой Чаше.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>* * *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t xml:space="preserve">Евхаристия — центральное Таинство Церкви. Регулярное причащение необходимо человеку для спасения, в соответствии со словами Господа Иисуса Христа:«Истинно, истинно говорю вам: если не будете есть Плоти Сына Человеческого и пить Крови Его, то не будете иметь в себе жизни.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Ядущий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Мою Плоть и </w:t>
      </w:r>
      <w:proofErr w:type="spellStart"/>
      <w:r w:rsidRPr="00A16E0B">
        <w:rPr>
          <w:rFonts w:ascii="Times New Roman" w:hAnsi="Times New Roman" w:cs="Times New Roman"/>
          <w:sz w:val="24"/>
          <w:szCs w:val="24"/>
        </w:rPr>
        <w:t>пиющий</w:t>
      </w:r>
      <w:proofErr w:type="spellEnd"/>
      <w:r w:rsidRPr="00A16E0B">
        <w:rPr>
          <w:rFonts w:ascii="Times New Roman" w:hAnsi="Times New Roman" w:cs="Times New Roman"/>
          <w:sz w:val="24"/>
          <w:szCs w:val="24"/>
        </w:rPr>
        <w:t xml:space="preserve"> Мою Кровь имеет жизнь вечную, и Я воскрешу его в последний день» (Ин. 6, 53-54).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A16E0B">
        <w:rPr>
          <w:rFonts w:ascii="Times New Roman" w:hAnsi="Times New Roman" w:cs="Times New Roman"/>
          <w:sz w:val="24"/>
          <w:szCs w:val="24"/>
        </w:rPr>
        <w:pict>
          <v:rect id="_x0000_i1025" style="width:154.35pt;height:1.2pt" o:hrpct="330" o:hrstd="t" o:hrnoshade="t" o:hr="t" fillcolor="#ddd" stroked="f"/>
        </w:pic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anchor="_ftnref1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[1]</w:t>
        </w:r>
      </w:hyperlink>
      <w:r w:rsidRPr="00A16E0B">
        <w:rPr>
          <w:rFonts w:ascii="Times New Roman" w:hAnsi="Times New Roman" w:cs="Times New Roman"/>
          <w:sz w:val="24"/>
          <w:szCs w:val="24"/>
        </w:rPr>
        <w:t> Регламент или Устав духовной коллегии издан императором Петром I в 1721 году.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anchor="_ftnref2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[2]</w:t>
        </w:r>
      </w:hyperlink>
      <w:r w:rsidRPr="00A16E0B">
        <w:rPr>
          <w:rFonts w:ascii="Times New Roman" w:hAnsi="Times New Roman" w:cs="Times New Roman"/>
          <w:sz w:val="24"/>
          <w:szCs w:val="24"/>
        </w:rPr>
        <w:t> Святитель Феофан Затворник. Письма. V, 757.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anchor="_ftnref3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[3]</w:t>
        </w:r>
      </w:hyperlink>
      <w:r w:rsidRPr="00A16E0B">
        <w:rPr>
          <w:rFonts w:ascii="Times New Roman" w:hAnsi="Times New Roman" w:cs="Times New Roman"/>
          <w:sz w:val="24"/>
          <w:szCs w:val="24"/>
        </w:rPr>
        <w:t> Святитель Феофан Затворник. Письма. IV, 693.</w:t>
      </w:r>
    </w:p>
    <w:p w:rsidR="00A16E0B" w:rsidRPr="00A16E0B" w:rsidRDefault="00A16E0B" w:rsidP="00A16E0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anchor="_ftnref4" w:tooltip="" w:history="1">
        <w:r w:rsidRPr="00A16E0B">
          <w:rPr>
            <w:rStyle w:val="a5"/>
            <w:rFonts w:ascii="Times New Roman" w:hAnsi="Times New Roman" w:cs="Times New Roman"/>
            <w:sz w:val="24"/>
            <w:szCs w:val="24"/>
          </w:rPr>
          <w:t>[4]</w:t>
        </w:r>
      </w:hyperlink>
      <w:r w:rsidRPr="00A16E0B">
        <w:rPr>
          <w:rFonts w:ascii="Times New Roman" w:hAnsi="Times New Roman" w:cs="Times New Roman"/>
          <w:sz w:val="24"/>
          <w:szCs w:val="24"/>
        </w:rPr>
        <w:t> Здесь и далее: при отсутствии родителей или в случае лишения их прав соответствующие обязанности возлагаются на близких родственников, попечителей или опекунов.</w:t>
      </w:r>
    </w:p>
    <w:p w:rsidR="00261029" w:rsidRPr="00A16E0B" w:rsidRDefault="00261029" w:rsidP="00A16E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029" w:rsidRPr="00A16E0B" w:rsidSect="0026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16E0B"/>
    <w:rsid w:val="0000222E"/>
    <w:rsid w:val="000615C4"/>
    <w:rsid w:val="000E55FE"/>
    <w:rsid w:val="00110FB3"/>
    <w:rsid w:val="001C7B43"/>
    <w:rsid w:val="00240787"/>
    <w:rsid w:val="00246BAE"/>
    <w:rsid w:val="002606F3"/>
    <w:rsid w:val="00261029"/>
    <w:rsid w:val="00443A7A"/>
    <w:rsid w:val="004838C3"/>
    <w:rsid w:val="004D710E"/>
    <w:rsid w:val="005C6CBD"/>
    <w:rsid w:val="00644B5E"/>
    <w:rsid w:val="00682CFB"/>
    <w:rsid w:val="006C4572"/>
    <w:rsid w:val="00763A96"/>
    <w:rsid w:val="00770E05"/>
    <w:rsid w:val="0084579E"/>
    <w:rsid w:val="008E6DB2"/>
    <w:rsid w:val="008E7409"/>
    <w:rsid w:val="00906AF9"/>
    <w:rsid w:val="00923B2B"/>
    <w:rsid w:val="009C10D5"/>
    <w:rsid w:val="00A15984"/>
    <w:rsid w:val="00A16E0B"/>
    <w:rsid w:val="00A71FF4"/>
    <w:rsid w:val="00A831DE"/>
    <w:rsid w:val="00BE6C87"/>
    <w:rsid w:val="00CA1230"/>
    <w:rsid w:val="00CD58A0"/>
    <w:rsid w:val="00D93C26"/>
    <w:rsid w:val="00D9714D"/>
    <w:rsid w:val="00E410E8"/>
    <w:rsid w:val="00FF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29"/>
  </w:style>
  <w:style w:type="paragraph" w:styleId="1">
    <w:name w:val="heading 1"/>
    <w:basedOn w:val="a"/>
    <w:link w:val="10"/>
    <w:uiPriority w:val="9"/>
    <w:qFormat/>
    <w:rsid w:val="00A1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6E0B"/>
  </w:style>
  <w:style w:type="character" w:styleId="a4">
    <w:name w:val="Emphasis"/>
    <w:basedOn w:val="a0"/>
    <w:uiPriority w:val="20"/>
    <w:qFormat/>
    <w:rsid w:val="00A16E0B"/>
    <w:rPr>
      <w:i/>
      <w:iCs/>
    </w:rPr>
  </w:style>
  <w:style w:type="character" w:styleId="a5">
    <w:name w:val="Hyperlink"/>
    <w:basedOn w:val="a0"/>
    <w:uiPriority w:val="99"/>
    <w:unhideWhenUsed/>
    <w:rsid w:val="00A16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55">
          <w:marLeft w:val="230"/>
          <w:marRight w:val="23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Relationship Id="rId11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Relationship Id="rId5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Relationship Id="rId10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Relationship Id="rId4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Relationship Id="rId9" Type="http://schemas.openxmlformats.org/officeDocument/2006/relationships/hyperlink" Target="http://stavropol-eparhia.ru/%d0%9e%d0%b1-%d1%83%d1%87%d0%b0%d1%81%d1%82%d0%b8%d0%b8-%d0%b2%d0%b5%d1%80%d0%bd%d1%8b%d1%85-%d0%b2-%d0%95%d0%b2%d1%85%d0%b0%d1%80%d0%b8%d1%81%d1%82%d0%b8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4233</Words>
  <Characters>24133</Characters>
  <Application>Microsoft Office Word</Application>
  <DocSecurity>0</DocSecurity>
  <Lines>201</Lines>
  <Paragraphs>56</Paragraphs>
  <ScaleCrop>false</ScaleCrop>
  <Company/>
  <LinksUpToDate>false</LinksUpToDate>
  <CharactersWithSpaces>28310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Антоний</dc:creator>
  <cp:keywords/>
  <dc:description/>
  <cp:lastModifiedBy>Антоний</cp:lastModifiedBy>
  <cp:revision>3</cp:revision>
  <dcterms:created xsi:type="dcterms:W3CDTF">2015-04-02T11:01:00Z</dcterms:created>
  <dcterms:modified xsi:type="dcterms:W3CDTF">2015-04-02T11:02:00Z</dcterms:modified>
</cp:coreProperties>
</file>